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EE" w:rsidRDefault="0058327C" w:rsidP="006800E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6800EE" w:rsidRDefault="006800EE" w:rsidP="006800EE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00EE" w:rsidRDefault="006800EE" w:rsidP="006800EE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27C" w:rsidRPr="0058327C" w:rsidRDefault="0058327C" w:rsidP="0058327C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2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03.01.2018 жылдан бастап 30.06.2018 жыл аралығында Қазақстан Республикасы Қаржы министрлігінің Мемлекеттік кірістер комитеті Оңтүстік Қазақстан облысы бойынша Мемлекеттік кірістер департаментінің </w:t>
      </w:r>
      <w:r w:rsidR="006800EE" w:rsidRPr="0058327C">
        <w:rPr>
          <w:rFonts w:ascii="Times New Roman" w:hAnsi="Times New Roman" w:cs="Times New Roman"/>
          <w:b/>
          <w:sz w:val="28"/>
          <w:szCs w:val="28"/>
          <w:lang w:val="kk-KZ"/>
        </w:rPr>
        <w:t>Шымкент қаласы бойынша мемлекеттік кірістер басқармасында жеке тұлғалар мен заңды тұлғалар өкілдерін</w:t>
      </w:r>
    </w:p>
    <w:p w:rsidR="0058327C" w:rsidRPr="0058327C" w:rsidRDefault="0058327C" w:rsidP="0058327C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27C">
        <w:rPr>
          <w:rFonts w:ascii="Times New Roman" w:hAnsi="Times New Roman" w:cs="Times New Roman"/>
          <w:b/>
          <w:sz w:val="28"/>
          <w:szCs w:val="28"/>
          <w:lang w:val="kk-KZ"/>
        </w:rPr>
        <w:t>қабылдау</w:t>
      </w:r>
    </w:p>
    <w:p w:rsidR="006800EE" w:rsidRPr="0058327C" w:rsidRDefault="006800EE" w:rsidP="0058327C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27C"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6800EE" w:rsidRDefault="006800EE" w:rsidP="006800EE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1892"/>
        <w:gridCol w:w="1872"/>
        <w:gridCol w:w="1874"/>
        <w:gridCol w:w="2060"/>
        <w:gridCol w:w="1873"/>
      </w:tblGrid>
      <w:tr w:rsidR="006800EE" w:rsidRPr="0058327C" w:rsidTr="00DD5E64">
        <w:tc>
          <w:tcPr>
            <w:tcW w:w="1914" w:type="dxa"/>
          </w:tcPr>
          <w:p w:rsidR="006800EE" w:rsidRPr="0058327C" w:rsidRDefault="0058327C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914" w:type="dxa"/>
          </w:tcPr>
          <w:p w:rsidR="006800EE" w:rsidRPr="0058327C" w:rsidRDefault="0058327C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914" w:type="dxa"/>
          </w:tcPr>
          <w:p w:rsidR="006800EE" w:rsidRPr="0058327C" w:rsidRDefault="006800EE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Қабылдау </w:t>
            </w:r>
            <w:r w:rsidR="0058327C"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914" w:type="dxa"/>
          </w:tcPr>
          <w:p w:rsidR="006800EE" w:rsidRPr="0058327C" w:rsidRDefault="0058327C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1915" w:type="dxa"/>
          </w:tcPr>
          <w:p w:rsidR="0058327C" w:rsidRPr="0058327C" w:rsidRDefault="0058327C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</w:t>
            </w:r>
          </w:p>
          <w:p w:rsidR="006800EE" w:rsidRPr="0058327C" w:rsidRDefault="006800EE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телефоны</w:t>
            </w:r>
          </w:p>
        </w:tc>
      </w:tr>
      <w:tr w:rsidR="006800EE" w:rsidRPr="0058327C" w:rsidTr="00DD5E64">
        <w:tc>
          <w:tcPr>
            <w:tcW w:w="1914" w:type="dxa"/>
          </w:tcPr>
          <w:p w:rsidR="006800EE" w:rsidRPr="0058327C" w:rsidRDefault="006800EE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1914" w:type="dxa"/>
          </w:tcPr>
          <w:p w:rsidR="006800EE" w:rsidRPr="0058327C" w:rsidRDefault="006800EE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Налибаев Нуржан Абдулла</w:t>
            </w:r>
          </w:p>
        </w:tc>
        <w:tc>
          <w:tcPr>
            <w:tcW w:w="1914" w:type="dxa"/>
          </w:tcPr>
          <w:p w:rsidR="006800EE" w:rsidRPr="0058327C" w:rsidRDefault="00C9466E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аптаның сәрсенбі күндері</w:t>
            </w:r>
          </w:p>
        </w:tc>
        <w:tc>
          <w:tcPr>
            <w:tcW w:w="1914" w:type="dxa"/>
          </w:tcPr>
          <w:p w:rsidR="006800EE" w:rsidRPr="0058327C" w:rsidRDefault="006800EE" w:rsidP="00C553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қаласы</w:t>
            </w:r>
            <w:r w:rsidR="00C553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32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А.Байтұрсынов көшесі</w:t>
            </w:r>
            <w:r w:rsidR="00C553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32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№66 </w:t>
            </w:r>
          </w:p>
        </w:tc>
        <w:tc>
          <w:tcPr>
            <w:tcW w:w="1915" w:type="dxa"/>
          </w:tcPr>
          <w:p w:rsidR="006800EE" w:rsidRPr="0058327C" w:rsidRDefault="006800EE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21-13-11</w:t>
            </w:r>
          </w:p>
        </w:tc>
      </w:tr>
      <w:tr w:rsidR="006800EE" w:rsidRPr="0058327C" w:rsidTr="00DD5E64">
        <w:tc>
          <w:tcPr>
            <w:tcW w:w="1914" w:type="dxa"/>
          </w:tcPr>
          <w:p w:rsidR="006800EE" w:rsidRPr="0058327C" w:rsidRDefault="006800EE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Басшының орынбасары</w:t>
            </w:r>
          </w:p>
        </w:tc>
        <w:tc>
          <w:tcPr>
            <w:tcW w:w="1914" w:type="dxa"/>
          </w:tcPr>
          <w:p w:rsidR="006800EE" w:rsidRPr="0058327C" w:rsidRDefault="006800EE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Сартаев Төлбасы Еркінұлы</w:t>
            </w:r>
          </w:p>
        </w:tc>
        <w:tc>
          <w:tcPr>
            <w:tcW w:w="1914" w:type="dxa"/>
          </w:tcPr>
          <w:p w:rsidR="006800EE" w:rsidRPr="0058327C" w:rsidRDefault="00C9466E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аптаның бейсенбі күндері</w:t>
            </w:r>
          </w:p>
        </w:tc>
        <w:tc>
          <w:tcPr>
            <w:tcW w:w="1914" w:type="dxa"/>
          </w:tcPr>
          <w:p w:rsidR="006800EE" w:rsidRPr="0058327C" w:rsidRDefault="006800EE" w:rsidP="00C553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қаласы</w:t>
            </w:r>
            <w:r w:rsidR="00C553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32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А.Байтұрсынов көшесі</w:t>
            </w:r>
            <w:r w:rsidR="00C553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832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№66 </w:t>
            </w:r>
          </w:p>
        </w:tc>
        <w:tc>
          <w:tcPr>
            <w:tcW w:w="1915" w:type="dxa"/>
          </w:tcPr>
          <w:p w:rsidR="006800EE" w:rsidRPr="0058327C" w:rsidRDefault="006800EE" w:rsidP="0058327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30-01-62</w:t>
            </w:r>
          </w:p>
        </w:tc>
      </w:tr>
    </w:tbl>
    <w:p w:rsidR="006800EE" w:rsidRPr="0058327C" w:rsidRDefault="006800EE" w:rsidP="006800EE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00EE" w:rsidRPr="0058327C" w:rsidRDefault="006800EE" w:rsidP="006800EE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8327C">
        <w:rPr>
          <w:rFonts w:ascii="Times New Roman" w:hAnsi="Times New Roman" w:cs="Times New Roman"/>
          <w:sz w:val="28"/>
          <w:szCs w:val="28"/>
          <w:lang w:val="kk-KZ"/>
        </w:rPr>
        <w:t xml:space="preserve">Азаматтарды қабылдау кестесі </w:t>
      </w:r>
      <w:r w:rsidRPr="0058327C">
        <w:rPr>
          <w:rFonts w:ascii="Times New Roman" w:hAnsi="Times New Roman" w:cs="Times New Roman"/>
          <w:b/>
          <w:sz w:val="28"/>
          <w:szCs w:val="28"/>
          <w:lang w:val="kk-KZ"/>
        </w:rPr>
        <w:t>сағат 11.00 – 17.00-ге</w:t>
      </w:r>
      <w:r w:rsidRPr="0058327C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58327C" w:rsidRPr="0058327C">
        <w:rPr>
          <w:rFonts w:ascii="Times New Roman" w:hAnsi="Times New Roman" w:cs="Times New Roman"/>
          <w:sz w:val="28"/>
          <w:szCs w:val="28"/>
          <w:lang w:val="kk-KZ"/>
        </w:rPr>
        <w:t xml:space="preserve"> жүргізіледі.</w:t>
      </w:r>
    </w:p>
    <w:p w:rsidR="006800EE" w:rsidRPr="0058327C" w:rsidRDefault="006800EE" w:rsidP="006800EE">
      <w:pPr>
        <w:tabs>
          <w:tab w:val="left" w:pos="30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8327C">
        <w:rPr>
          <w:rFonts w:ascii="Times New Roman" w:hAnsi="Times New Roman" w:cs="Times New Roman"/>
          <w:sz w:val="28"/>
          <w:szCs w:val="28"/>
          <w:lang w:val="kk-KZ"/>
        </w:rPr>
        <w:t xml:space="preserve">Қабылдауға жазылу </w:t>
      </w:r>
      <w:r w:rsidR="00913566">
        <w:rPr>
          <w:rFonts w:ascii="Times New Roman" w:hAnsi="Times New Roman" w:cs="Times New Roman"/>
          <w:b/>
          <w:sz w:val="28"/>
          <w:szCs w:val="28"/>
          <w:lang w:val="kk-KZ"/>
        </w:rPr>
        <w:t>8 (72</w:t>
      </w:r>
      <w:r w:rsidRPr="0058327C">
        <w:rPr>
          <w:rFonts w:ascii="Times New Roman" w:hAnsi="Times New Roman" w:cs="Times New Roman"/>
          <w:b/>
          <w:sz w:val="28"/>
          <w:szCs w:val="28"/>
          <w:lang w:val="kk-KZ"/>
        </w:rPr>
        <w:t>52) 21-05-99</w:t>
      </w:r>
      <w:r w:rsidR="0058327C" w:rsidRPr="0058327C">
        <w:rPr>
          <w:rFonts w:ascii="Times New Roman" w:hAnsi="Times New Roman" w:cs="Times New Roman"/>
          <w:sz w:val="28"/>
          <w:szCs w:val="28"/>
          <w:lang w:val="kk-KZ"/>
        </w:rPr>
        <w:t xml:space="preserve"> телефондары арқылы жүзеге асырылады.</w:t>
      </w:r>
    </w:p>
    <w:p w:rsidR="006800EE" w:rsidRPr="0058327C" w:rsidRDefault="006800EE" w:rsidP="006800EE">
      <w:pPr>
        <w:tabs>
          <w:tab w:val="left" w:pos="77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800EE" w:rsidRDefault="006800EE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800EE" w:rsidRDefault="006800EE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800EE" w:rsidRDefault="006800EE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800EE" w:rsidRDefault="006800EE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4059" w:rsidRDefault="000B4059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4059" w:rsidRDefault="000B4059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4059" w:rsidRDefault="000B4059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4059" w:rsidRDefault="000B4059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42C59" w:rsidRDefault="00142C59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4059" w:rsidRDefault="000B4059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F5ECA" w:rsidRDefault="00FF5ECA" w:rsidP="000B4059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4059" w:rsidRDefault="000B4059" w:rsidP="000B4059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</w:t>
      </w:r>
    </w:p>
    <w:p w:rsidR="000B4059" w:rsidRPr="0058327C" w:rsidRDefault="000B4059" w:rsidP="000B4059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приема физических лиц и представителей юридических лиц в управлении государственных доходов по городу Шымкент Департамента государственных доходов по Южно-Казахстанской области Комитета государственных доходов Министерства финансов Республики Казахстан с 03.01.2018 года по 30.06.2018 года</w:t>
      </w:r>
    </w:p>
    <w:p w:rsidR="000B4059" w:rsidRDefault="000B4059" w:rsidP="000B4059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1879"/>
        <w:gridCol w:w="1585"/>
        <w:gridCol w:w="1831"/>
        <w:gridCol w:w="2504"/>
        <w:gridCol w:w="1772"/>
      </w:tblGrid>
      <w:tr w:rsidR="000B4059" w:rsidRPr="0058327C" w:rsidTr="005B0617">
        <w:tc>
          <w:tcPr>
            <w:tcW w:w="1914" w:type="dxa"/>
          </w:tcPr>
          <w:p w:rsidR="000B4059" w:rsidRPr="0058327C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14" w:type="dxa"/>
          </w:tcPr>
          <w:p w:rsidR="000B4059" w:rsidRPr="0058327C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914" w:type="dxa"/>
          </w:tcPr>
          <w:p w:rsidR="000B4059" w:rsidRPr="0058327C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приема</w:t>
            </w:r>
          </w:p>
        </w:tc>
        <w:tc>
          <w:tcPr>
            <w:tcW w:w="1914" w:type="dxa"/>
          </w:tcPr>
          <w:p w:rsidR="000B4059" w:rsidRPr="0058327C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Местонахождение</w:t>
            </w:r>
          </w:p>
        </w:tc>
        <w:tc>
          <w:tcPr>
            <w:tcW w:w="1915" w:type="dxa"/>
          </w:tcPr>
          <w:p w:rsidR="000B4059" w:rsidRPr="0058327C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Служебный телефон</w:t>
            </w:r>
          </w:p>
        </w:tc>
      </w:tr>
      <w:tr w:rsidR="000B4059" w:rsidRPr="000B4059" w:rsidTr="005B0617">
        <w:tc>
          <w:tcPr>
            <w:tcW w:w="1914" w:type="dxa"/>
          </w:tcPr>
          <w:p w:rsidR="000B4059" w:rsidRPr="0058327C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1914" w:type="dxa"/>
          </w:tcPr>
          <w:p w:rsidR="000B4059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Налибаев Нуржан Абдулла</w:t>
            </w:r>
          </w:p>
          <w:p w:rsidR="00FF5ECA" w:rsidRPr="0058327C" w:rsidRDefault="00FF5ECA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0B4059" w:rsidRPr="0058327C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 по средам</w:t>
            </w:r>
          </w:p>
        </w:tc>
        <w:tc>
          <w:tcPr>
            <w:tcW w:w="1914" w:type="dxa"/>
          </w:tcPr>
          <w:p w:rsidR="000B4059" w:rsidRPr="0058327C" w:rsidRDefault="00142C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0B40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.Шымкент, ул.Байтурсынова, 66</w:t>
            </w:r>
          </w:p>
        </w:tc>
        <w:tc>
          <w:tcPr>
            <w:tcW w:w="1915" w:type="dxa"/>
          </w:tcPr>
          <w:p w:rsidR="000B4059" w:rsidRPr="0058327C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21-13-11</w:t>
            </w:r>
          </w:p>
        </w:tc>
      </w:tr>
      <w:tr w:rsidR="000B4059" w:rsidRPr="0058327C" w:rsidTr="005B0617">
        <w:tc>
          <w:tcPr>
            <w:tcW w:w="1914" w:type="dxa"/>
          </w:tcPr>
          <w:p w:rsidR="000B4059" w:rsidRPr="0058327C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1914" w:type="dxa"/>
          </w:tcPr>
          <w:p w:rsidR="000B4059" w:rsidRDefault="000B40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Сартаев Төлбасы Еркінұлы</w:t>
            </w:r>
          </w:p>
          <w:p w:rsidR="00FF5ECA" w:rsidRPr="0058327C" w:rsidRDefault="00FF5ECA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0B4059" w:rsidRPr="0058327C" w:rsidRDefault="00EC2605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 по четвергам</w:t>
            </w:r>
          </w:p>
        </w:tc>
        <w:tc>
          <w:tcPr>
            <w:tcW w:w="1914" w:type="dxa"/>
          </w:tcPr>
          <w:p w:rsidR="000B4059" w:rsidRPr="0058327C" w:rsidRDefault="00142C59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0B40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.Шымкент, ул.Байтурсынова, 66</w:t>
            </w:r>
          </w:p>
        </w:tc>
        <w:tc>
          <w:tcPr>
            <w:tcW w:w="1915" w:type="dxa"/>
          </w:tcPr>
          <w:p w:rsidR="000B4059" w:rsidRPr="0058327C" w:rsidRDefault="00DC5E11" w:rsidP="005B061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30-01</w:t>
            </w:r>
            <w:r w:rsidR="000B4059" w:rsidRPr="005832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-62</w:t>
            </w:r>
          </w:p>
        </w:tc>
      </w:tr>
    </w:tbl>
    <w:p w:rsidR="000B4059" w:rsidRPr="0058327C" w:rsidRDefault="000B4059" w:rsidP="000B4059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4059" w:rsidRPr="0058327C" w:rsidRDefault="000B4059" w:rsidP="000B4059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Прием граждан производится с</w:t>
      </w:r>
      <w:r w:rsidRPr="005832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11.00 – 17.00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часов</w:t>
      </w:r>
      <w:r w:rsidRPr="0058327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4059" w:rsidRPr="0058327C" w:rsidRDefault="000B4059" w:rsidP="000B4059">
      <w:pPr>
        <w:tabs>
          <w:tab w:val="left" w:pos="309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Запись на прием по телефонам</w:t>
      </w:r>
      <w:r w:rsidRPr="005832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2C59">
        <w:rPr>
          <w:rFonts w:ascii="Times New Roman" w:hAnsi="Times New Roman" w:cs="Times New Roman"/>
          <w:b/>
          <w:sz w:val="28"/>
          <w:szCs w:val="28"/>
          <w:lang w:val="kk-KZ"/>
        </w:rPr>
        <w:t>8 (72</w:t>
      </w:r>
      <w:r w:rsidRPr="0058327C">
        <w:rPr>
          <w:rFonts w:ascii="Times New Roman" w:hAnsi="Times New Roman" w:cs="Times New Roman"/>
          <w:b/>
          <w:sz w:val="28"/>
          <w:szCs w:val="28"/>
          <w:lang w:val="kk-KZ"/>
        </w:rPr>
        <w:t>52) 21-05-99</w:t>
      </w:r>
      <w:r w:rsidR="002F30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4059" w:rsidRPr="0058327C" w:rsidRDefault="000B4059" w:rsidP="000B4059">
      <w:pPr>
        <w:tabs>
          <w:tab w:val="left" w:pos="77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4059" w:rsidRDefault="000B4059" w:rsidP="000B4059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4059" w:rsidRDefault="000B4059" w:rsidP="000B4059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4059" w:rsidRDefault="000B4059" w:rsidP="000B4059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4059" w:rsidRPr="006800EE" w:rsidRDefault="000B4059" w:rsidP="000B4059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4059" w:rsidRPr="006800EE" w:rsidRDefault="000B4059" w:rsidP="006800EE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0B4059" w:rsidRPr="006800EE" w:rsidSect="00B3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0D9F"/>
    <w:multiLevelType w:val="hybridMultilevel"/>
    <w:tmpl w:val="3B94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D08AC"/>
    <w:multiLevelType w:val="hybridMultilevel"/>
    <w:tmpl w:val="3B94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D8"/>
    <w:rsid w:val="000B4059"/>
    <w:rsid w:val="00142C59"/>
    <w:rsid w:val="0018608B"/>
    <w:rsid w:val="001E03D3"/>
    <w:rsid w:val="001E271F"/>
    <w:rsid w:val="002F3099"/>
    <w:rsid w:val="0036749A"/>
    <w:rsid w:val="003C517E"/>
    <w:rsid w:val="003E25F7"/>
    <w:rsid w:val="0058327C"/>
    <w:rsid w:val="005872B5"/>
    <w:rsid w:val="005B0B4B"/>
    <w:rsid w:val="006039F7"/>
    <w:rsid w:val="0063117A"/>
    <w:rsid w:val="006800EE"/>
    <w:rsid w:val="006E1D7F"/>
    <w:rsid w:val="007003D8"/>
    <w:rsid w:val="00790192"/>
    <w:rsid w:val="007A0AAD"/>
    <w:rsid w:val="007E23AE"/>
    <w:rsid w:val="00814FF4"/>
    <w:rsid w:val="00880EE9"/>
    <w:rsid w:val="00913566"/>
    <w:rsid w:val="009301E8"/>
    <w:rsid w:val="009870AB"/>
    <w:rsid w:val="009B2128"/>
    <w:rsid w:val="00A541CB"/>
    <w:rsid w:val="00A57336"/>
    <w:rsid w:val="00A61850"/>
    <w:rsid w:val="00B31F3B"/>
    <w:rsid w:val="00B4692D"/>
    <w:rsid w:val="00C5538D"/>
    <w:rsid w:val="00C9466E"/>
    <w:rsid w:val="00CF1154"/>
    <w:rsid w:val="00D01D1B"/>
    <w:rsid w:val="00D74074"/>
    <w:rsid w:val="00D82612"/>
    <w:rsid w:val="00D9692F"/>
    <w:rsid w:val="00DC5E11"/>
    <w:rsid w:val="00EB60A1"/>
    <w:rsid w:val="00EC2605"/>
    <w:rsid w:val="00F14090"/>
    <w:rsid w:val="00F752E4"/>
    <w:rsid w:val="00FB5FA6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2D"/>
    <w:pPr>
      <w:ind w:left="720"/>
      <w:contextualSpacing/>
    </w:pPr>
  </w:style>
  <w:style w:type="table" w:styleId="a4">
    <w:name w:val="Table Grid"/>
    <w:basedOn w:val="a1"/>
    <w:uiPriority w:val="59"/>
    <w:rsid w:val="00F75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zh_ybrahym</cp:lastModifiedBy>
  <cp:revision>14</cp:revision>
  <cp:lastPrinted>2018-01-10T04:52:00Z</cp:lastPrinted>
  <dcterms:created xsi:type="dcterms:W3CDTF">2018-01-10T06:36:00Z</dcterms:created>
  <dcterms:modified xsi:type="dcterms:W3CDTF">2018-01-10T11:20:00Z</dcterms:modified>
</cp:coreProperties>
</file>