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296B9F" w:rsidRPr="00296B9F"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r w:rsidR="00CF66E7">
        <w:rPr>
          <w:b w:val="0"/>
          <w:i w:val="0"/>
          <w:color w:val="000000"/>
          <w:sz w:val="24"/>
          <w:szCs w:val="24"/>
          <w:lang w:val="kk-KZ"/>
        </w:rPr>
        <w:t xml:space="preserve"> немесе </w:t>
      </w:r>
      <w:r w:rsidR="00CF66E7" w:rsidRPr="0063502A">
        <w:rPr>
          <w:b w:val="0"/>
          <w:i w:val="0"/>
          <w:sz w:val="24"/>
          <w:szCs w:val="24"/>
          <w:lang w:val="kk-KZ"/>
        </w:rPr>
        <w:t>құқық (құқықтану).</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017F48" w:rsidRDefault="000A1AE6" w:rsidP="00017F48">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CF66E7">
        <w:rPr>
          <w:i w:val="0"/>
          <w:sz w:val="24"/>
          <w:szCs w:val="24"/>
          <w:lang w:val="kk-KZ"/>
        </w:rPr>
        <w:t xml:space="preserve">салықты </w:t>
      </w:r>
      <w:r w:rsidR="002C6D89">
        <w:rPr>
          <w:i w:val="0"/>
          <w:sz w:val="24"/>
          <w:szCs w:val="24"/>
          <w:lang w:val="kk-KZ"/>
        </w:rPr>
        <w:t>әкімшілендіру</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p>
    <w:p w:rsidR="008F3844" w:rsidRPr="00421CC9" w:rsidRDefault="007B75DF" w:rsidP="008F3844">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0A1AE6" w:rsidRPr="00390211">
        <w:rPr>
          <w:i w:val="0"/>
          <w:sz w:val="24"/>
          <w:szCs w:val="24"/>
          <w:lang w:val="kk-KZ"/>
        </w:rPr>
        <w:t>Функционалды міндеттері</w:t>
      </w:r>
      <w:r w:rsidR="000A1AE6" w:rsidRPr="00390211">
        <w:rPr>
          <w:b w:val="0"/>
          <w:i w:val="0"/>
          <w:sz w:val="24"/>
          <w:szCs w:val="24"/>
          <w:lang w:val="kk-KZ"/>
        </w:rPr>
        <w:t>:</w:t>
      </w:r>
      <w:r w:rsidR="002C6D89">
        <w:rPr>
          <w:b w:val="0"/>
          <w:i w:val="0"/>
          <w:sz w:val="24"/>
          <w:szCs w:val="24"/>
          <w:lang w:val="kk-KZ"/>
        </w:rPr>
        <w:t xml:space="preserve"> </w:t>
      </w:r>
      <w:r w:rsidR="008F3844" w:rsidRPr="00561BB1">
        <w:rPr>
          <w:b w:val="0"/>
          <w:i w:val="0"/>
          <w:color w:val="000000"/>
          <w:sz w:val="24"/>
          <w:szCs w:val="24"/>
          <w:lang w:val="kk-KZ"/>
        </w:rPr>
        <w:t>Бөлімнің орталықтандырылған тапсырмаларын орындау. Камералды бақылау арқылы салықтық әкімшілендіруді жүргізу, қарсы салықтық тексеруді жүргізу, рейдтік тексерулерді жүргізу, нақты кірісті және шығысты анықтау мақсатында хронометражды зерттеу жасау. Салықтөлеушінің мекен жайын растау мақсатында салықтық зерттеу жасау, бекітілген салықтар түрі бойынша және басқа да бюджетке түсетін міндетті түсімдер бойынша болжам жоспарын орындалуын қамтамасыз ету. Берешек, артық төлемге зерттеу, кеден одағы шеңберіндегі акциз және  жанама салықтар бойынша болжам жоспарының орындалуына зерттеу жасау. Салық заңнамасын түсіндіру кезінде және салықты әкімшілендіру жүргізу барысында салықтөлеушілермен жұмыс істеу білу.</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8F3844" w:rsidRDefault="008F3844"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«____»_______________ 2017</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3D" w:rsidRDefault="0085383D" w:rsidP="00B55B02">
      <w:r>
        <w:separator/>
      </w:r>
    </w:p>
  </w:endnote>
  <w:endnote w:type="continuationSeparator" w:id="0">
    <w:p w:rsidR="0085383D" w:rsidRDefault="0085383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E43F0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05A9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3D" w:rsidRDefault="0085383D" w:rsidP="00B55B02">
      <w:r>
        <w:separator/>
      </w:r>
    </w:p>
  </w:footnote>
  <w:footnote w:type="continuationSeparator" w:id="0">
    <w:p w:rsidR="0085383D" w:rsidRDefault="0085383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85383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A93"/>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542"/>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EB2"/>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B75DF"/>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83D"/>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3844"/>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3F01"/>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3A0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2E01FB49-56DD-4538-9DDB-09907109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B9AA-46D6-4D58-8169-F5F1430F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7341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2017-06-30T03:44:00Z</cp:lastPrinted>
  <dcterms:created xsi:type="dcterms:W3CDTF">2017-12-21T03:28:00Z</dcterms:created>
  <dcterms:modified xsi:type="dcterms:W3CDTF">2017-12-21T03:28:00Z</dcterms:modified>
</cp:coreProperties>
</file>